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AA" w:rsidRDefault="004A60AA" w:rsidP="00F81B40">
      <w:pPr>
        <w:pStyle w:val="Supplemenatalheading"/>
        <w:rPr>
          <w:rStyle w:val="CommunicationHeadings"/>
        </w:rPr>
      </w:pPr>
    </w:p>
    <w:p w:rsidR="004A60AA" w:rsidRDefault="004A60AA" w:rsidP="00F81B40">
      <w:pPr>
        <w:pStyle w:val="Supplemenatalheading"/>
        <w:rPr>
          <w:rStyle w:val="CommunicationHeadings"/>
        </w:rPr>
      </w:pPr>
    </w:p>
    <w:p w:rsidR="00F81B40" w:rsidRPr="004A60AA" w:rsidRDefault="00F81B40" w:rsidP="00F81B40">
      <w:pPr>
        <w:pStyle w:val="Supplemenatalheading"/>
        <w:rPr>
          <w:rStyle w:val="CommunicationHeadings"/>
        </w:rPr>
      </w:pPr>
      <w:r w:rsidRPr="004A60AA">
        <w:rPr>
          <w:rStyle w:val="CommunicationHeadings"/>
        </w:rPr>
        <w:t>Results Announcement</w:t>
      </w:r>
    </w:p>
    <w:p w:rsidR="00F81B40" w:rsidRPr="004A60AA" w:rsidRDefault="00F81B40" w:rsidP="00F81B40">
      <w:pPr>
        <w:pStyle w:val="Supplemenatalheading"/>
        <w:rPr>
          <w:rFonts w:ascii="Arial" w:hAnsi="Arial" w:cs="Arial"/>
          <w:b/>
          <w:bCs/>
        </w:rPr>
      </w:pPr>
      <w:r w:rsidRPr="004A60AA">
        <w:rPr>
          <w:rStyle w:val="CommunicationHeadings"/>
        </w:rPr>
        <w:t>From Energy Efficiency Coordinator to ALL STAFF</w:t>
      </w:r>
    </w:p>
    <w:p w:rsidR="00F81B40" w:rsidRPr="004A60AA" w:rsidRDefault="00F81B40" w:rsidP="00F81B40">
      <w:pPr>
        <w:pStyle w:val="Supplemenatalheading"/>
        <w:rPr>
          <w:rFonts w:ascii="Arial" w:hAnsi="Arial" w:cs="Arial"/>
          <w:b/>
          <w:bCs/>
        </w:rPr>
      </w:pPr>
    </w:p>
    <w:p w:rsidR="00F81B40" w:rsidRPr="004A60AA" w:rsidRDefault="003F7CA5" w:rsidP="00F81B40">
      <w:pPr>
        <w:pStyle w:val="Supplemenatalheading"/>
        <w:jc w:val="center"/>
        <w:rPr>
          <w:rFonts w:ascii="Arial" w:hAnsi="Arial" w:cs="Arial"/>
          <w:b/>
          <w:bCs/>
        </w:rPr>
      </w:pPr>
      <w:r>
        <w:rPr>
          <w:rStyle w:val="Centeredheading"/>
          <w:sz w:val="24"/>
          <w:szCs w:val="24"/>
        </w:rPr>
        <w:t>2nd</w:t>
      </w:r>
      <w:r w:rsidR="00F81B40" w:rsidRPr="004A60AA">
        <w:rPr>
          <w:rStyle w:val="Centeredheading"/>
          <w:sz w:val="24"/>
          <w:szCs w:val="24"/>
        </w:rPr>
        <w:t xml:space="preserve">-Quarter </w:t>
      </w:r>
      <w:r w:rsidR="007A3685">
        <w:rPr>
          <w:rStyle w:val="Centeredheading"/>
          <w:sz w:val="24"/>
          <w:szCs w:val="24"/>
        </w:rPr>
        <w:t>Year 3</w:t>
      </w:r>
      <w:r w:rsidR="00E77407" w:rsidRPr="004A60AA">
        <w:rPr>
          <w:rStyle w:val="Centeredheading"/>
          <w:sz w:val="24"/>
          <w:szCs w:val="24"/>
        </w:rPr>
        <w:t xml:space="preserve"> </w:t>
      </w:r>
      <w:r w:rsidR="00F81B40" w:rsidRPr="004A60AA">
        <w:rPr>
          <w:rStyle w:val="Centeredheading"/>
          <w:sz w:val="24"/>
          <w:szCs w:val="24"/>
        </w:rPr>
        <w:t>Energy-saving Progress</w:t>
      </w:r>
    </w:p>
    <w:p w:rsidR="00F81B40" w:rsidRPr="004A60AA" w:rsidRDefault="00F81B40" w:rsidP="00F81B40">
      <w:pPr>
        <w:pStyle w:val="Supplemenatalheading"/>
        <w:spacing w:after="86"/>
        <w:rPr>
          <w:rFonts w:ascii="Times New Roman" w:hAnsi="Times New Roman" w:cs="Times New Roman"/>
          <w:sz w:val="22"/>
          <w:szCs w:val="22"/>
        </w:rPr>
      </w:pPr>
      <w:r w:rsidRPr="004A60AA">
        <w:rPr>
          <w:rFonts w:ascii="Times New Roman" w:hAnsi="Times New Roman" w:cs="Times New Roman"/>
          <w:sz w:val="22"/>
          <w:szCs w:val="22"/>
        </w:rPr>
        <w:t xml:space="preserve">Throughout our </w:t>
      </w:r>
      <w:r w:rsidR="00A35948" w:rsidRPr="004A60AA">
        <w:rPr>
          <w:rFonts w:ascii="Times New Roman" w:hAnsi="Times New Roman" w:cs="Times New Roman"/>
          <w:sz w:val="22"/>
          <w:szCs w:val="22"/>
        </w:rPr>
        <w:t>district</w:t>
      </w:r>
      <w:r w:rsidRPr="004A60AA">
        <w:rPr>
          <w:rFonts w:ascii="Times New Roman" w:hAnsi="Times New Roman" w:cs="Times New Roman"/>
          <w:sz w:val="22"/>
          <w:szCs w:val="22"/>
        </w:rPr>
        <w:t xml:space="preserve"> we have been working to carry out the energy efficiency strategies recommended as part of the </w:t>
      </w:r>
      <w:r w:rsidR="00A35948" w:rsidRPr="004A60AA">
        <w:rPr>
          <w:rFonts w:ascii="Times New Roman" w:hAnsi="Times New Roman" w:cs="Times New Roman"/>
          <w:sz w:val="22"/>
          <w:szCs w:val="22"/>
        </w:rPr>
        <w:t>SEE Program</w:t>
      </w:r>
      <w:r w:rsidRPr="004A60AA">
        <w:rPr>
          <w:rFonts w:ascii="Times New Roman" w:hAnsi="Times New Roman" w:cs="Times New Roman"/>
          <w:sz w:val="22"/>
          <w:szCs w:val="22"/>
        </w:rPr>
        <w:t>. To monitor our progress, utility bill data is tracked and reported quarterly for each facility. Utility tracking allows us to monitor en</w:t>
      </w:r>
      <w:r w:rsidR="00A35948" w:rsidRPr="004A60AA">
        <w:rPr>
          <w:rFonts w:ascii="Times New Roman" w:hAnsi="Times New Roman" w:cs="Times New Roman"/>
          <w:sz w:val="22"/>
          <w:szCs w:val="22"/>
        </w:rPr>
        <w:t>ergy use, identify opportunities</w:t>
      </w:r>
      <w:r w:rsidRPr="004A60AA">
        <w:rPr>
          <w:rFonts w:ascii="Times New Roman" w:hAnsi="Times New Roman" w:cs="Times New Roman"/>
          <w:sz w:val="22"/>
          <w:szCs w:val="22"/>
        </w:rPr>
        <w:t xml:space="preserve"> and adjust our approach as we move forward.</w:t>
      </w:r>
      <w:r w:rsidR="00016FB8">
        <w:rPr>
          <w:rFonts w:ascii="Times New Roman" w:hAnsi="Times New Roman" w:cs="Times New Roman"/>
          <w:sz w:val="22"/>
          <w:szCs w:val="22"/>
        </w:rPr>
        <w:t xml:space="preserve"> </w:t>
      </w:r>
      <w:r w:rsidRPr="004A60AA">
        <w:rPr>
          <w:rFonts w:ascii="Times New Roman" w:hAnsi="Times New Roman" w:cs="Times New Roman"/>
          <w:sz w:val="22"/>
          <w:szCs w:val="22"/>
        </w:rPr>
        <w:t xml:space="preserve"> </w:t>
      </w:r>
      <w:r w:rsidR="00A35948" w:rsidRPr="006121F9">
        <w:rPr>
          <w:rFonts w:ascii="Times New Roman" w:hAnsi="Times New Roman" w:cs="Times New Roman"/>
          <w:sz w:val="22"/>
          <w:szCs w:val="22"/>
        </w:rPr>
        <w:t>District</w:t>
      </w:r>
      <w:r w:rsidRPr="006121F9">
        <w:rPr>
          <w:rFonts w:ascii="Times New Roman" w:hAnsi="Times New Roman" w:cs="Times New Roman"/>
          <w:sz w:val="22"/>
          <w:szCs w:val="22"/>
        </w:rPr>
        <w:t xml:space="preserve">-wide, we have </w:t>
      </w:r>
      <w:r w:rsidR="00862AA5">
        <w:rPr>
          <w:rFonts w:ascii="Times New Roman" w:hAnsi="Times New Roman" w:cs="Times New Roman"/>
          <w:sz w:val="22"/>
          <w:szCs w:val="22"/>
        </w:rPr>
        <w:t>reduced</w:t>
      </w:r>
      <w:r w:rsidR="006121F9" w:rsidRPr="006121F9">
        <w:rPr>
          <w:rFonts w:ascii="Times New Roman" w:hAnsi="Times New Roman" w:cs="Times New Roman"/>
          <w:sz w:val="22"/>
          <w:szCs w:val="22"/>
        </w:rPr>
        <w:t xml:space="preserve"> our energy use </w:t>
      </w:r>
      <w:r w:rsidR="00862AA5">
        <w:rPr>
          <w:rFonts w:ascii="Times New Roman" w:hAnsi="Times New Roman" w:cs="Times New Roman"/>
          <w:sz w:val="22"/>
          <w:szCs w:val="22"/>
        </w:rPr>
        <w:t xml:space="preserve">by 12% </w:t>
      </w:r>
      <w:r w:rsidR="006121F9" w:rsidRPr="006121F9">
        <w:rPr>
          <w:rFonts w:ascii="Times New Roman" w:hAnsi="Times New Roman" w:cs="Times New Roman"/>
          <w:sz w:val="22"/>
          <w:szCs w:val="22"/>
        </w:rPr>
        <w:t xml:space="preserve">from </w:t>
      </w:r>
      <w:r w:rsidR="00862AA5">
        <w:rPr>
          <w:rFonts w:ascii="Times New Roman" w:hAnsi="Times New Roman" w:cs="Times New Roman"/>
          <w:sz w:val="22"/>
          <w:szCs w:val="22"/>
        </w:rPr>
        <w:t xml:space="preserve">March </w:t>
      </w:r>
      <w:r w:rsidR="000A0ED3" w:rsidRPr="006121F9">
        <w:rPr>
          <w:rFonts w:ascii="Times New Roman" w:hAnsi="Times New Roman" w:cs="Times New Roman"/>
          <w:sz w:val="22"/>
          <w:szCs w:val="22"/>
        </w:rPr>
        <w:t>t</w:t>
      </w:r>
      <w:r w:rsidR="00406F78" w:rsidRPr="006121F9">
        <w:rPr>
          <w:rFonts w:ascii="Times New Roman" w:hAnsi="Times New Roman" w:cs="Times New Roman"/>
          <w:sz w:val="22"/>
          <w:szCs w:val="22"/>
        </w:rPr>
        <w:t>hrough</w:t>
      </w:r>
      <w:r w:rsidR="000A0ED3" w:rsidRPr="006121F9">
        <w:rPr>
          <w:rFonts w:ascii="Times New Roman" w:hAnsi="Times New Roman" w:cs="Times New Roman"/>
          <w:sz w:val="22"/>
          <w:szCs w:val="22"/>
        </w:rPr>
        <w:t xml:space="preserve"> </w:t>
      </w:r>
      <w:r w:rsidR="00862AA5">
        <w:rPr>
          <w:rFonts w:ascii="Times New Roman" w:hAnsi="Times New Roman" w:cs="Times New Roman"/>
          <w:sz w:val="22"/>
          <w:szCs w:val="22"/>
        </w:rPr>
        <w:t>May</w:t>
      </w:r>
      <w:r w:rsidR="006121F9" w:rsidRPr="006121F9">
        <w:rPr>
          <w:rFonts w:ascii="Times New Roman" w:hAnsi="Times New Roman" w:cs="Times New Roman"/>
          <w:sz w:val="22"/>
          <w:szCs w:val="22"/>
        </w:rPr>
        <w:t xml:space="preserve"> 2015</w:t>
      </w:r>
      <w:r w:rsidR="006121F9">
        <w:rPr>
          <w:rFonts w:ascii="Times New Roman" w:hAnsi="Times New Roman" w:cs="Times New Roman"/>
          <w:sz w:val="22"/>
          <w:szCs w:val="22"/>
        </w:rPr>
        <w:t xml:space="preserve"> compared to the baseline year.  </w:t>
      </w:r>
      <w:r w:rsidR="00862AA5">
        <w:rPr>
          <w:rFonts w:ascii="Times New Roman" w:hAnsi="Times New Roman" w:cs="Times New Roman"/>
          <w:sz w:val="22"/>
          <w:szCs w:val="22"/>
        </w:rPr>
        <w:t xml:space="preserve">Holland Brook School and </w:t>
      </w:r>
      <w:proofErr w:type="spellStart"/>
      <w:r w:rsidR="00862AA5">
        <w:rPr>
          <w:rFonts w:ascii="Times New Roman" w:hAnsi="Times New Roman" w:cs="Times New Roman"/>
          <w:sz w:val="22"/>
          <w:szCs w:val="22"/>
        </w:rPr>
        <w:t>Readington</w:t>
      </w:r>
      <w:proofErr w:type="spellEnd"/>
      <w:r w:rsidR="00862AA5">
        <w:rPr>
          <w:rFonts w:ascii="Times New Roman" w:hAnsi="Times New Roman" w:cs="Times New Roman"/>
          <w:sz w:val="22"/>
          <w:szCs w:val="22"/>
        </w:rPr>
        <w:t xml:space="preserve"> Middle School contributed significantly to our savings</w:t>
      </w:r>
      <w:r w:rsidR="00F81361">
        <w:rPr>
          <w:rFonts w:ascii="Times New Roman" w:hAnsi="Times New Roman" w:cs="Times New Roman"/>
          <w:sz w:val="22"/>
          <w:szCs w:val="22"/>
        </w:rPr>
        <w:t xml:space="preserve"> for the quarter</w:t>
      </w:r>
      <w:bookmarkStart w:id="0" w:name="_GoBack"/>
      <w:bookmarkEnd w:id="0"/>
      <w:r w:rsidR="00862AA5">
        <w:rPr>
          <w:rFonts w:ascii="Times New Roman" w:hAnsi="Times New Roman" w:cs="Times New Roman"/>
          <w:sz w:val="22"/>
          <w:szCs w:val="22"/>
        </w:rPr>
        <w:t xml:space="preserve">.  </w:t>
      </w:r>
      <w:r w:rsidR="006121F9">
        <w:rPr>
          <w:rFonts w:ascii="Times New Roman" w:hAnsi="Times New Roman" w:cs="Times New Roman"/>
          <w:sz w:val="22"/>
          <w:szCs w:val="22"/>
        </w:rPr>
        <w:t>All schools exceeded our energy savings goal of 10% for electricity.  Great job!</w:t>
      </w:r>
      <w:r w:rsidR="000A0ED3" w:rsidRPr="006121F9">
        <w:rPr>
          <w:rFonts w:ascii="Times New Roman" w:hAnsi="Times New Roman" w:cs="Times New Roman"/>
          <w:sz w:val="22"/>
          <w:szCs w:val="22"/>
        </w:rPr>
        <w:t xml:space="preserve">  </w:t>
      </w:r>
      <w:r w:rsidRPr="006121F9">
        <w:rPr>
          <w:rFonts w:ascii="Times New Roman" w:hAnsi="Times New Roman" w:cs="Times New Roman"/>
          <w:sz w:val="22"/>
          <w:szCs w:val="22"/>
        </w:rPr>
        <w:t>Look</w:t>
      </w:r>
      <w:r w:rsidRPr="004A60AA">
        <w:rPr>
          <w:rFonts w:ascii="Times New Roman" w:hAnsi="Times New Roman" w:cs="Times New Roman"/>
          <w:sz w:val="22"/>
          <w:szCs w:val="22"/>
        </w:rPr>
        <w:t xml:space="preserve"> at the chart below to see how your facility is doing. </w:t>
      </w:r>
    </w:p>
    <w:p w:rsidR="00016FB8" w:rsidRDefault="00016FB8" w:rsidP="00F81B40">
      <w:pPr>
        <w:pStyle w:val="Supplemenatalheading"/>
        <w:jc w:val="center"/>
        <w:rPr>
          <w:rFonts w:ascii="Arial" w:hAnsi="Arial" w:cs="Arial"/>
          <w:b/>
          <w:bCs/>
          <w:smallCaps/>
          <w:color w:val="5E604A"/>
        </w:rPr>
      </w:pPr>
    </w:p>
    <w:p w:rsidR="00F81B40" w:rsidRPr="004A60AA" w:rsidRDefault="00F81B40" w:rsidP="00F81B40">
      <w:pPr>
        <w:pStyle w:val="Supplemenatalheading"/>
        <w:jc w:val="center"/>
        <w:rPr>
          <w:rFonts w:ascii="Arial" w:hAnsi="Arial" w:cs="Arial"/>
          <w:b/>
          <w:bCs/>
          <w:smallCaps/>
          <w:color w:val="5E604A"/>
        </w:rPr>
      </w:pPr>
      <w:r w:rsidRPr="004A60AA">
        <w:rPr>
          <w:rFonts w:ascii="Arial" w:hAnsi="Arial" w:cs="Arial"/>
          <w:b/>
          <w:bCs/>
          <w:smallCaps/>
          <w:color w:val="5E604A"/>
        </w:rPr>
        <w:t>Energy Savings Progress Summary Report</w:t>
      </w:r>
    </w:p>
    <w:p w:rsidR="00F81B40" w:rsidRPr="004A60AA" w:rsidRDefault="00F81B40" w:rsidP="00F81B40">
      <w:pPr>
        <w:pStyle w:val="Supplemenatalheading"/>
        <w:jc w:val="center"/>
        <w:rPr>
          <w:rFonts w:ascii="Times New Roman" w:hAnsi="Times New Roman" w:cs="Times New Roman"/>
        </w:rPr>
      </w:pPr>
      <w:r w:rsidRPr="004A60AA">
        <w:rPr>
          <w:rFonts w:ascii="Arial" w:hAnsi="Arial" w:cs="Arial"/>
          <w:b/>
          <w:bCs/>
          <w:color w:val="5E604A"/>
        </w:rPr>
        <w:t xml:space="preserve">Client: </w:t>
      </w:r>
      <w:proofErr w:type="spellStart"/>
      <w:r w:rsidR="00E77407" w:rsidRPr="004A60AA">
        <w:rPr>
          <w:rFonts w:ascii="Arial" w:hAnsi="Arial" w:cs="Arial"/>
          <w:b/>
          <w:bCs/>
          <w:color w:val="5E604A"/>
        </w:rPr>
        <w:t>Readington</w:t>
      </w:r>
      <w:proofErr w:type="spellEnd"/>
      <w:r w:rsidR="00E77407" w:rsidRPr="004A60AA">
        <w:rPr>
          <w:rFonts w:ascii="Arial" w:hAnsi="Arial" w:cs="Arial"/>
          <w:b/>
          <w:bCs/>
          <w:color w:val="5E604A"/>
        </w:rPr>
        <w:t xml:space="preserve"> Township School District</w:t>
      </w:r>
    </w:p>
    <w:p w:rsidR="00F81B40" w:rsidRPr="004A60AA" w:rsidRDefault="00F81B40" w:rsidP="00F81B40">
      <w:pPr>
        <w:pStyle w:val="BodyText1"/>
      </w:pPr>
    </w:p>
    <w:tbl>
      <w:tblPr>
        <w:tblW w:w="9720" w:type="dxa"/>
        <w:tblInd w:w="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20"/>
        <w:gridCol w:w="1530"/>
        <w:gridCol w:w="1080"/>
        <w:gridCol w:w="990"/>
        <w:gridCol w:w="1260"/>
        <w:gridCol w:w="1080"/>
      </w:tblGrid>
      <w:tr w:rsidR="007A3685" w:rsidRPr="004A60AA" w:rsidTr="00217845">
        <w:tc>
          <w:tcPr>
            <w:tcW w:w="3060" w:type="dxa"/>
            <w:shd w:val="clear" w:color="auto" w:fill="9BBB59"/>
            <w:vAlign w:val="center"/>
          </w:tcPr>
          <w:p w:rsidR="007A3685" w:rsidRPr="004A60AA" w:rsidRDefault="007A3685" w:rsidP="006C3FBC">
            <w:pPr>
              <w:pStyle w:val="BodyText1"/>
              <w:jc w:val="center"/>
              <w:rPr>
                <w:rFonts w:ascii="Arial Narrow" w:hAnsi="Arial Narrow"/>
                <w:b/>
                <w:bCs/>
              </w:rPr>
            </w:pPr>
            <w:r w:rsidRPr="004A60AA">
              <w:rPr>
                <w:rFonts w:ascii="Arial Narrow" w:hAnsi="Arial Narrow"/>
                <w:b/>
                <w:bCs/>
              </w:rPr>
              <w:t>Building</w:t>
            </w:r>
          </w:p>
        </w:tc>
        <w:tc>
          <w:tcPr>
            <w:tcW w:w="720" w:type="dxa"/>
            <w:shd w:val="clear" w:color="auto" w:fill="9BBB59"/>
          </w:tcPr>
          <w:p w:rsidR="007A3685" w:rsidRDefault="007A3685" w:rsidP="006C3FBC">
            <w:pPr>
              <w:pStyle w:val="BodyText1"/>
              <w:jc w:val="center"/>
              <w:rPr>
                <w:rFonts w:ascii="Arial Narrow" w:hAnsi="Arial Narrow"/>
                <w:b/>
                <w:bCs/>
              </w:rPr>
            </w:pPr>
          </w:p>
          <w:p w:rsidR="007A3685" w:rsidRDefault="007A3685" w:rsidP="006C3FBC">
            <w:pPr>
              <w:pStyle w:val="BodyText1"/>
              <w:jc w:val="center"/>
              <w:rPr>
                <w:rFonts w:ascii="Arial Narrow" w:hAnsi="Arial Narrow"/>
                <w:b/>
                <w:bCs/>
              </w:rPr>
            </w:pPr>
          </w:p>
          <w:p w:rsidR="007A3685" w:rsidRPr="004A60AA" w:rsidRDefault="007A3685" w:rsidP="006C3FBC">
            <w:pPr>
              <w:pStyle w:val="BodyText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Rank</w:t>
            </w:r>
          </w:p>
        </w:tc>
        <w:tc>
          <w:tcPr>
            <w:tcW w:w="1530" w:type="dxa"/>
            <w:shd w:val="clear" w:color="auto" w:fill="9BBB59"/>
            <w:vAlign w:val="center"/>
          </w:tcPr>
          <w:p w:rsidR="007A3685" w:rsidRPr="004A60AA" w:rsidRDefault="007A3685" w:rsidP="006C3FBC">
            <w:pPr>
              <w:pStyle w:val="BodyText1"/>
              <w:jc w:val="center"/>
              <w:rPr>
                <w:rFonts w:ascii="Arial Narrow" w:hAnsi="Arial Narrow"/>
                <w:b/>
                <w:bCs/>
              </w:rPr>
            </w:pPr>
            <w:r w:rsidRPr="004A60AA">
              <w:rPr>
                <w:rFonts w:ascii="Arial Narrow" w:hAnsi="Arial Narrow"/>
                <w:b/>
                <w:bCs/>
              </w:rPr>
              <w:t>% Change Electric</w:t>
            </w:r>
          </w:p>
        </w:tc>
        <w:tc>
          <w:tcPr>
            <w:tcW w:w="1080" w:type="dxa"/>
            <w:shd w:val="clear" w:color="auto" w:fill="9BBB59"/>
            <w:vAlign w:val="center"/>
          </w:tcPr>
          <w:p w:rsidR="007A3685" w:rsidRPr="004A60AA" w:rsidRDefault="00862AA5" w:rsidP="00862AA5">
            <w:pPr>
              <w:pStyle w:val="BodyText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% Change Nat Gas</w:t>
            </w:r>
          </w:p>
        </w:tc>
        <w:tc>
          <w:tcPr>
            <w:tcW w:w="990" w:type="dxa"/>
            <w:shd w:val="clear" w:color="auto" w:fill="9BBB59"/>
            <w:vAlign w:val="center"/>
          </w:tcPr>
          <w:p w:rsidR="007A3685" w:rsidRPr="004A60AA" w:rsidRDefault="007A3685" w:rsidP="006C3FBC">
            <w:pPr>
              <w:pStyle w:val="BodyText1"/>
              <w:jc w:val="center"/>
              <w:rPr>
                <w:rFonts w:ascii="Arial Narrow" w:hAnsi="Arial Narrow"/>
                <w:b/>
                <w:bCs/>
              </w:rPr>
            </w:pPr>
            <w:r w:rsidRPr="004A60AA">
              <w:rPr>
                <w:rFonts w:ascii="Arial Narrow" w:hAnsi="Arial Narrow"/>
                <w:b/>
                <w:bCs/>
              </w:rPr>
              <w:t>% Change Total Energy (Btu)</w:t>
            </w:r>
          </w:p>
        </w:tc>
        <w:tc>
          <w:tcPr>
            <w:tcW w:w="1260" w:type="dxa"/>
            <w:shd w:val="clear" w:color="auto" w:fill="9BBB59"/>
            <w:vAlign w:val="center"/>
          </w:tcPr>
          <w:p w:rsidR="007A3685" w:rsidRPr="004A60AA" w:rsidRDefault="007A3685" w:rsidP="006C3FBC">
            <w:pPr>
              <w:pStyle w:val="BodyText1"/>
              <w:jc w:val="center"/>
              <w:rPr>
                <w:rFonts w:ascii="Arial Narrow" w:hAnsi="Arial Narrow"/>
                <w:b/>
                <w:bCs/>
              </w:rPr>
            </w:pPr>
            <w:r w:rsidRPr="004A60AA">
              <w:rPr>
                <w:rFonts w:ascii="Arial Narrow" w:hAnsi="Arial Narrow"/>
                <w:b/>
                <w:bCs/>
              </w:rPr>
              <w:t>%Change Electric Demand</w:t>
            </w:r>
          </w:p>
        </w:tc>
        <w:tc>
          <w:tcPr>
            <w:tcW w:w="1080" w:type="dxa"/>
            <w:shd w:val="clear" w:color="auto" w:fill="9BBB59"/>
            <w:vAlign w:val="center"/>
          </w:tcPr>
          <w:p w:rsidR="007A3685" w:rsidRPr="004A60AA" w:rsidRDefault="007A3685" w:rsidP="006C3FBC">
            <w:pPr>
              <w:pStyle w:val="BodyText1"/>
              <w:jc w:val="center"/>
              <w:rPr>
                <w:rFonts w:ascii="Arial Narrow" w:hAnsi="Arial Narrow"/>
                <w:b/>
                <w:bCs/>
              </w:rPr>
            </w:pPr>
            <w:r w:rsidRPr="004A60AA">
              <w:rPr>
                <w:rFonts w:ascii="Arial Narrow" w:hAnsi="Arial Narrow"/>
                <w:b/>
                <w:bCs/>
              </w:rPr>
              <w:t>Avoided Cost</w:t>
            </w:r>
          </w:p>
        </w:tc>
      </w:tr>
      <w:tr w:rsidR="00217845" w:rsidRPr="004A60AA" w:rsidTr="00217845">
        <w:tc>
          <w:tcPr>
            <w:tcW w:w="3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17845" w:rsidRPr="004A60AA" w:rsidRDefault="00217845" w:rsidP="006C3FBC">
            <w:pPr>
              <w:pStyle w:val="BodyText1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A60AA">
              <w:rPr>
                <w:bCs/>
                <w:sz w:val="22"/>
                <w:szCs w:val="22"/>
              </w:rPr>
              <w:t>Readington</w:t>
            </w:r>
            <w:proofErr w:type="spellEnd"/>
            <w:r w:rsidRPr="004A60AA">
              <w:rPr>
                <w:bCs/>
                <w:sz w:val="22"/>
                <w:szCs w:val="22"/>
              </w:rPr>
              <w:t xml:space="preserve"> Middle School</w:t>
            </w:r>
          </w:p>
        </w:tc>
        <w:tc>
          <w:tcPr>
            <w:tcW w:w="720" w:type="dxa"/>
            <w:tcBorders>
              <w:top w:val="single" w:sz="8" w:space="0" w:color="9BBB59"/>
              <w:bottom w:val="single" w:sz="8" w:space="0" w:color="9BBB59"/>
            </w:tcBorders>
          </w:tcPr>
          <w:p w:rsidR="00217845" w:rsidRDefault="00217845" w:rsidP="006C3FBC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8" w:space="0" w:color="9BBB59"/>
              <w:bottom w:val="single" w:sz="8" w:space="0" w:color="9BBB59"/>
            </w:tcBorders>
          </w:tcPr>
          <w:p w:rsidR="00217845" w:rsidRPr="004A60AA" w:rsidRDefault="00862AA5" w:rsidP="006C3FBC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</w:t>
            </w:r>
            <w:r w:rsidR="00217845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8" w:space="0" w:color="9BBB59"/>
              <w:bottom w:val="single" w:sz="8" w:space="0" w:color="9BBB59"/>
            </w:tcBorders>
          </w:tcPr>
          <w:p w:rsidR="00217845" w:rsidRPr="004A60AA" w:rsidRDefault="00862AA5" w:rsidP="006C3FBC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</w:t>
            </w:r>
            <w:r w:rsidR="00217845">
              <w:rPr>
                <w:sz w:val="22"/>
                <w:szCs w:val="22"/>
              </w:rPr>
              <w:t>%</w:t>
            </w:r>
          </w:p>
        </w:tc>
        <w:tc>
          <w:tcPr>
            <w:tcW w:w="990" w:type="dxa"/>
            <w:tcBorders>
              <w:top w:val="single" w:sz="8" w:space="0" w:color="9BBB59"/>
              <w:bottom w:val="single" w:sz="8" w:space="0" w:color="9BBB59"/>
            </w:tcBorders>
          </w:tcPr>
          <w:p w:rsidR="00217845" w:rsidRPr="004A60AA" w:rsidRDefault="00862AA5" w:rsidP="006C3FBC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</w:t>
            </w:r>
            <w:r w:rsidR="00217845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8" w:space="0" w:color="9BBB59"/>
              <w:bottom w:val="single" w:sz="8" w:space="0" w:color="9BBB59"/>
            </w:tcBorders>
          </w:tcPr>
          <w:p w:rsidR="00217845" w:rsidRPr="004A60AA" w:rsidRDefault="00862AA5" w:rsidP="006C3FBC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217845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17845" w:rsidRPr="004A60AA" w:rsidRDefault="00217845" w:rsidP="00862AA5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62AA5">
              <w:rPr>
                <w:sz w:val="22"/>
                <w:szCs w:val="22"/>
              </w:rPr>
              <w:t>10,945</w:t>
            </w:r>
          </w:p>
        </w:tc>
      </w:tr>
      <w:tr w:rsidR="00862AA5" w:rsidRPr="004A60AA" w:rsidTr="00217845">
        <w:tc>
          <w:tcPr>
            <w:tcW w:w="3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bCs/>
                <w:sz w:val="22"/>
                <w:szCs w:val="22"/>
              </w:rPr>
            </w:pPr>
            <w:r w:rsidRPr="004A60AA">
              <w:rPr>
                <w:bCs/>
                <w:sz w:val="22"/>
                <w:szCs w:val="22"/>
              </w:rPr>
              <w:t>Holland Brook School</w:t>
            </w:r>
          </w:p>
        </w:tc>
        <w:tc>
          <w:tcPr>
            <w:tcW w:w="72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-23%</w:t>
            </w:r>
          </w:p>
        </w:tc>
        <w:tc>
          <w:tcPr>
            <w:tcW w:w="108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1%</w:t>
            </w:r>
          </w:p>
        </w:tc>
        <w:tc>
          <w:tcPr>
            <w:tcW w:w="99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-9%</w:t>
            </w:r>
          </w:p>
        </w:tc>
        <w:tc>
          <w:tcPr>
            <w:tcW w:w="126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-10%</w:t>
            </w:r>
          </w:p>
        </w:tc>
        <w:tc>
          <w:tcPr>
            <w:tcW w:w="10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$10,029</w:t>
            </w:r>
          </w:p>
        </w:tc>
      </w:tr>
      <w:tr w:rsidR="00862AA5" w:rsidRPr="004A60AA" w:rsidTr="00217845">
        <w:tc>
          <w:tcPr>
            <w:tcW w:w="3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bCs/>
                <w:sz w:val="22"/>
                <w:szCs w:val="22"/>
              </w:rPr>
            </w:pPr>
            <w:r w:rsidRPr="004A60AA">
              <w:rPr>
                <w:bCs/>
                <w:sz w:val="22"/>
                <w:szCs w:val="22"/>
              </w:rPr>
              <w:t>Three Bridges School</w:t>
            </w:r>
          </w:p>
        </w:tc>
        <w:tc>
          <w:tcPr>
            <w:tcW w:w="72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-13%</w:t>
            </w:r>
          </w:p>
        </w:tc>
        <w:tc>
          <w:tcPr>
            <w:tcW w:w="108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-7%</w:t>
            </w:r>
          </w:p>
        </w:tc>
        <w:tc>
          <w:tcPr>
            <w:tcW w:w="99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-9%</w:t>
            </w:r>
          </w:p>
        </w:tc>
        <w:tc>
          <w:tcPr>
            <w:tcW w:w="126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-12%</w:t>
            </w:r>
          </w:p>
        </w:tc>
        <w:tc>
          <w:tcPr>
            <w:tcW w:w="10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$2,947</w:t>
            </w:r>
          </w:p>
        </w:tc>
      </w:tr>
      <w:tr w:rsidR="00862AA5" w:rsidRPr="004A60AA" w:rsidTr="00217845">
        <w:tc>
          <w:tcPr>
            <w:tcW w:w="3060" w:type="dxa"/>
            <w:tcBorders>
              <w:top w:val="single" w:sz="8" w:space="0" w:color="9BBB59"/>
              <w:bottom w:val="single" w:sz="4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bCs/>
                <w:sz w:val="22"/>
                <w:szCs w:val="22"/>
              </w:rPr>
            </w:pPr>
            <w:r w:rsidRPr="004A60AA">
              <w:rPr>
                <w:bCs/>
                <w:sz w:val="22"/>
                <w:szCs w:val="22"/>
              </w:rPr>
              <w:t>Whitehouse School</w:t>
            </w:r>
          </w:p>
        </w:tc>
        <w:tc>
          <w:tcPr>
            <w:tcW w:w="720" w:type="dxa"/>
            <w:tcBorders>
              <w:top w:val="single" w:sz="8" w:space="0" w:color="9BBB59"/>
              <w:bottom w:val="single" w:sz="4" w:space="0" w:color="9BBB59"/>
            </w:tcBorders>
          </w:tcPr>
          <w:p w:rsidR="00862AA5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8" w:space="0" w:color="9BBB59"/>
              <w:bottom w:val="single" w:sz="4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-18%</w:t>
            </w:r>
          </w:p>
        </w:tc>
        <w:tc>
          <w:tcPr>
            <w:tcW w:w="1080" w:type="dxa"/>
            <w:tcBorders>
              <w:top w:val="single" w:sz="8" w:space="0" w:color="9BBB59"/>
              <w:bottom w:val="single" w:sz="4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4%</w:t>
            </w:r>
          </w:p>
        </w:tc>
        <w:tc>
          <w:tcPr>
            <w:tcW w:w="990" w:type="dxa"/>
            <w:tcBorders>
              <w:top w:val="single" w:sz="8" w:space="0" w:color="9BBB59"/>
              <w:bottom w:val="single" w:sz="4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-4%</w:t>
            </w:r>
          </w:p>
        </w:tc>
        <w:tc>
          <w:tcPr>
            <w:tcW w:w="1260" w:type="dxa"/>
            <w:tcBorders>
              <w:top w:val="single" w:sz="8" w:space="0" w:color="9BBB59"/>
              <w:bottom w:val="single" w:sz="4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-15%</w:t>
            </w:r>
          </w:p>
        </w:tc>
        <w:tc>
          <w:tcPr>
            <w:tcW w:w="1080" w:type="dxa"/>
            <w:tcBorders>
              <w:top w:val="single" w:sz="8" w:space="0" w:color="9BBB59"/>
              <w:bottom w:val="single" w:sz="4" w:space="0" w:color="9BBB59"/>
            </w:tcBorders>
          </w:tcPr>
          <w:p w:rsidR="00862AA5" w:rsidRPr="004A60AA" w:rsidRDefault="00862AA5" w:rsidP="00005920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$3,602</w:t>
            </w:r>
          </w:p>
        </w:tc>
      </w:tr>
      <w:tr w:rsidR="00862AA5" w:rsidRPr="004A60AA" w:rsidTr="00217845">
        <w:tc>
          <w:tcPr>
            <w:tcW w:w="3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862AA5" w:rsidRPr="004A60AA" w:rsidRDefault="00862AA5" w:rsidP="006C3FBC">
            <w:pPr>
              <w:pStyle w:val="BodyText1"/>
              <w:jc w:val="center"/>
              <w:rPr>
                <w:bCs/>
                <w:sz w:val="22"/>
                <w:szCs w:val="22"/>
              </w:rPr>
            </w:pPr>
            <w:r w:rsidRPr="004A60AA">
              <w:rPr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72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Default="00862AA5" w:rsidP="006C3FBC">
            <w:pPr>
              <w:pStyle w:val="BodyText1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Pr="004A60AA" w:rsidRDefault="00862AA5" w:rsidP="006C3FBC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-19%</w:t>
            </w:r>
          </w:p>
        </w:tc>
        <w:tc>
          <w:tcPr>
            <w:tcW w:w="108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Pr="004A60AA" w:rsidRDefault="00862AA5" w:rsidP="006C3FBC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-7%</w:t>
            </w:r>
          </w:p>
        </w:tc>
        <w:tc>
          <w:tcPr>
            <w:tcW w:w="99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Pr="004A60AA" w:rsidRDefault="00862AA5" w:rsidP="006C3FBC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-12%</w:t>
            </w:r>
          </w:p>
        </w:tc>
        <w:tc>
          <w:tcPr>
            <w:tcW w:w="1260" w:type="dxa"/>
            <w:tcBorders>
              <w:top w:val="single" w:sz="8" w:space="0" w:color="9BBB59"/>
              <w:bottom w:val="single" w:sz="8" w:space="0" w:color="9BBB59"/>
            </w:tcBorders>
          </w:tcPr>
          <w:p w:rsidR="00862AA5" w:rsidRPr="004A60AA" w:rsidRDefault="00862AA5" w:rsidP="006C3FBC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-12%</w:t>
            </w:r>
          </w:p>
        </w:tc>
        <w:tc>
          <w:tcPr>
            <w:tcW w:w="10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62AA5" w:rsidRPr="004A60AA" w:rsidRDefault="00862AA5" w:rsidP="00862AA5">
            <w:pPr>
              <w:pStyle w:val="BodyTex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$27,523</w:t>
            </w:r>
          </w:p>
        </w:tc>
      </w:tr>
    </w:tbl>
    <w:p w:rsidR="00F81B40" w:rsidRPr="00217845" w:rsidRDefault="00613BCC" w:rsidP="00F81B40">
      <w:pPr>
        <w:pStyle w:val="BodyText1"/>
        <w:rPr>
          <w:sz w:val="20"/>
          <w:szCs w:val="20"/>
        </w:rPr>
      </w:pPr>
      <w:r w:rsidRPr="00217845">
        <w:rPr>
          <w:sz w:val="20"/>
          <w:szCs w:val="20"/>
        </w:rPr>
        <w:t xml:space="preserve">This report highlights </w:t>
      </w:r>
      <w:r w:rsidR="00F81B40" w:rsidRPr="00217845">
        <w:rPr>
          <w:sz w:val="20"/>
          <w:szCs w:val="20"/>
        </w:rPr>
        <w:t xml:space="preserve">our </w:t>
      </w:r>
      <w:r w:rsidR="000A0ED3" w:rsidRPr="00217845">
        <w:rPr>
          <w:sz w:val="20"/>
          <w:szCs w:val="20"/>
        </w:rPr>
        <w:t>district</w:t>
      </w:r>
      <w:r w:rsidR="00F81B40" w:rsidRPr="00217845">
        <w:rPr>
          <w:sz w:val="20"/>
          <w:szCs w:val="20"/>
        </w:rPr>
        <w:t>’s energy saving results and avoided energy costs for the current period compared to the same period in the base</w:t>
      </w:r>
      <w:r w:rsidRPr="00217845">
        <w:rPr>
          <w:sz w:val="20"/>
          <w:szCs w:val="20"/>
        </w:rPr>
        <w:t>line</w:t>
      </w:r>
      <w:r w:rsidR="00F81B40" w:rsidRPr="00217845">
        <w:rPr>
          <w:sz w:val="20"/>
          <w:szCs w:val="20"/>
        </w:rPr>
        <w:t xml:space="preserve"> year.</w:t>
      </w:r>
    </w:p>
    <w:p w:rsidR="00F81B40" w:rsidRPr="004A60AA" w:rsidRDefault="00F81B40" w:rsidP="00F81B40">
      <w:pPr>
        <w:pStyle w:val="BodyText1"/>
        <w:rPr>
          <w:sz w:val="22"/>
          <w:szCs w:val="22"/>
        </w:rPr>
      </w:pPr>
    </w:p>
    <w:p w:rsidR="00F81B40" w:rsidRPr="00217845" w:rsidRDefault="00F81B40" w:rsidP="00217845">
      <w:pPr>
        <w:pStyle w:val="BodyText1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17845">
        <w:rPr>
          <w:sz w:val="20"/>
          <w:szCs w:val="20"/>
        </w:rPr>
        <w:t xml:space="preserve">A negative % change = a reduction in energy use and a positive % change = an increase in energy use. </w:t>
      </w:r>
    </w:p>
    <w:p w:rsidR="00F81B40" w:rsidRPr="00217845" w:rsidRDefault="00F81B40" w:rsidP="00217845">
      <w:pPr>
        <w:pStyle w:val="BodyText1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17845">
        <w:rPr>
          <w:sz w:val="20"/>
          <w:szCs w:val="20"/>
        </w:rPr>
        <w:t xml:space="preserve">The % Change Total Energy column combines the electric and natural gas/inventoried fuel results by converting them to the common reporting unit of British Thermal Units (Btu) for a measurement of total energy change. </w:t>
      </w:r>
    </w:p>
    <w:p w:rsidR="00F81B40" w:rsidRPr="00217845" w:rsidRDefault="00F81B40" w:rsidP="00217845">
      <w:pPr>
        <w:pStyle w:val="BodyText1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17845">
        <w:rPr>
          <w:sz w:val="20"/>
          <w:szCs w:val="20"/>
        </w:rPr>
        <w:t xml:space="preserve">Electric Demand is a measurement of the peak electric usage over the course of a utility billing cycle and is billed as a separate component in most commercial electric bills. </w:t>
      </w:r>
    </w:p>
    <w:p w:rsidR="00E92400" w:rsidRDefault="00F81B40" w:rsidP="00217845">
      <w:pPr>
        <w:pStyle w:val="BodyText1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17845">
        <w:rPr>
          <w:sz w:val="20"/>
          <w:szCs w:val="20"/>
        </w:rPr>
        <w:t>Avoided Cost is a calculation of energy dollars that would have been spent had energy not been saved.</w:t>
      </w:r>
    </w:p>
    <w:p w:rsidR="00F81B40" w:rsidRPr="00217845" w:rsidRDefault="00F81B40" w:rsidP="00E92400">
      <w:pPr>
        <w:pStyle w:val="BodyText1"/>
        <w:spacing w:line="240" w:lineRule="auto"/>
        <w:ind w:left="720"/>
        <w:rPr>
          <w:sz w:val="20"/>
          <w:szCs w:val="20"/>
        </w:rPr>
      </w:pPr>
      <w:r w:rsidRPr="00217845">
        <w:rPr>
          <w:sz w:val="20"/>
          <w:szCs w:val="20"/>
        </w:rPr>
        <w:t xml:space="preserve"> </w:t>
      </w:r>
    </w:p>
    <w:p w:rsidR="00F81B40" w:rsidRPr="004A60AA" w:rsidRDefault="00F81B40" w:rsidP="00F81B40">
      <w:pPr>
        <w:pStyle w:val="Supplemenatalheading"/>
        <w:spacing w:before="180" w:after="86"/>
        <w:jc w:val="center"/>
        <w:rPr>
          <w:rFonts w:ascii="Times New Roman" w:hAnsi="Times New Roman" w:cs="Times New Roman"/>
          <w:sz w:val="22"/>
          <w:szCs w:val="22"/>
        </w:rPr>
      </w:pPr>
      <w:r w:rsidRPr="004A60AA">
        <w:rPr>
          <w:rFonts w:ascii="Times New Roman" w:hAnsi="Times New Roman" w:cs="Times New Roman"/>
          <w:sz w:val="22"/>
          <w:szCs w:val="22"/>
        </w:rPr>
        <w:t>Congratulations on your progress and thank you for your commitment to saving energy!</w:t>
      </w:r>
    </w:p>
    <w:p w:rsidR="00A801C8" w:rsidRPr="004A60AA" w:rsidRDefault="00A801C8">
      <w:pPr>
        <w:rPr>
          <w:sz w:val="24"/>
          <w:szCs w:val="24"/>
        </w:rPr>
      </w:pPr>
    </w:p>
    <w:sectPr w:rsidR="00A801C8" w:rsidRPr="004A60AA" w:rsidSect="00A801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C9" w:rsidRDefault="00B879C9" w:rsidP="00F81B40">
      <w:pPr>
        <w:spacing w:after="0" w:line="240" w:lineRule="auto"/>
      </w:pPr>
      <w:r>
        <w:separator/>
      </w:r>
    </w:p>
  </w:endnote>
  <w:endnote w:type="continuationSeparator" w:id="0">
    <w:p w:rsidR="00B879C9" w:rsidRDefault="00B879C9" w:rsidP="00F8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40" w:rsidRPr="00810F56" w:rsidRDefault="00F81B40" w:rsidP="00F81B40">
    <w:pPr>
      <w:pStyle w:val="Footer"/>
      <w:jc w:val="center"/>
      <w:rPr>
        <w:sz w:val="16"/>
        <w:szCs w:val="16"/>
      </w:rPr>
    </w:pPr>
    <w:r w:rsidRPr="00235D7F">
      <w:rPr>
        <w:rFonts w:cs="Calibri"/>
        <w:sz w:val="16"/>
        <w:szCs w:val="16"/>
      </w:rPr>
      <w:t>©</w:t>
    </w:r>
    <w:r w:rsidRPr="00235D7F">
      <w:rPr>
        <w:sz w:val="16"/>
        <w:szCs w:val="16"/>
      </w:rPr>
      <w:t>2009, 2011 CLASS5</w:t>
    </w:r>
    <w:r w:rsidRPr="00235D7F">
      <w:rPr>
        <w:sz w:val="16"/>
        <w:szCs w:val="16"/>
        <w:vertAlign w:val="superscript"/>
      </w:rPr>
      <w:t>TM</w:t>
    </w:r>
    <w:r w:rsidRPr="00235D7F">
      <w:rPr>
        <w:sz w:val="16"/>
        <w:szCs w:val="16"/>
      </w:rPr>
      <w:t xml:space="preserve"> PLAN Confidential and Proprietary</w:t>
    </w:r>
  </w:p>
  <w:p w:rsidR="00F81B40" w:rsidRDefault="00F81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C9" w:rsidRDefault="00B879C9" w:rsidP="00F81B40">
      <w:pPr>
        <w:spacing w:after="0" w:line="240" w:lineRule="auto"/>
      </w:pPr>
      <w:r>
        <w:separator/>
      </w:r>
    </w:p>
  </w:footnote>
  <w:footnote w:type="continuationSeparator" w:id="0">
    <w:p w:rsidR="00B879C9" w:rsidRDefault="00B879C9" w:rsidP="00F8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AA" w:rsidRDefault="007A3685" w:rsidP="004A60AA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1435100</wp:posOffset>
              </wp:positionH>
              <wp:positionV relativeFrom="paragraph">
                <wp:posOffset>-93345</wp:posOffset>
              </wp:positionV>
              <wp:extent cx="5143500" cy="84963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0AA" w:rsidRDefault="004A60AA" w:rsidP="004A60AA">
                          <w:pPr>
                            <w:pBdr>
                              <w:bottom w:val="single" w:sz="12" w:space="1" w:color="auto"/>
                            </w:pBdr>
                            <w:tabs>
                              <w:tab w:val="right" w:pos="7200"/>
                            </w:tabs>
                            <w:ind w:left="-90"/>
                            <w:rPr>
                              <w:rFonts w:ascii="Franklin Gothic Book" w:hAnsi="Franklin Gothic Book" w:cs="Tahoma"/>
                              <w:sz w:val="8"/>
                              <w:szCs w:val="18"/>
                            </w:rPr>
                          </w:pPr>
                        </w:p>
                        <w:p w:rsidR="004A60AA" w:rsidRDefault="004A60AA" w:rsidP="004A60AA">
                          <w:pP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7A1ACB">
                            <w:rPr>
                              <w:rFonts w:ascii="Utah Condensed" w:hAnsi="Utah Condensed"/>
                              <w:sz w:val="19"/>
                              <w:szCs w:val="17"/>
                            </w:rPr>
                            <w:t xml:space="preserve">P.O. Box 807 • 52 </w:t>
                          </w:r>
                          <w:proofErr w:type="spellStart"/>
                          <w:r w:rsidRPr="007A1ACB">
                            <w:rPr>
                              <w:rFonts w:ascii="Utah Condensed" w:hAnsi="Utah Condensed"/>
                              <w:sz w:val="19"/>
                              <w:szCs w:val="17"/>
                            </w:rPr>
                            <w:t>Readington</w:t>
                          </w:r>
                          <w:proofErr w:type="spellEnd"/>
                          <w:r w:rsidRPr="007A1ACB">
                            <w:rPr>
                              <w:rFonts w:ascii="Utah Condensed" w:hAnsi="Utah Condensed"/>
                              <w:sz w:val="19"/>
                              <w:szCs w:val="17"/>
                            </w:rPr>
                            <w:t xml:space="preserve"> Road • Whitehouse Station, NJ  08889 • (908)-534-2195 • (908) 534-9551 fax</w:t>
                          </w:r>
                        </w:p>
                        <w:p w:rsidR="004A60AA" w:rsidRPr="00390D8D" w:rsidRDefault="004A60AA" w:rsidP="004A60AA">
                          <w:pPr>
                            <w:ind w:left="-90"/>
                            <w:rPr>
                              <w:rFonts w:ascii="Times New Roman" w:hAnsi="Times New Roman"/>
                              <w:b/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3pt;margin-top:-7.35pt;width:405pt;height:6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0cgwIAAA8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" stroked="f">
              <v:textbox>
                <w:txbxContent>
                  <w:p w:rsidR="004A60AA" w:rsidRDefault="004A60AA" w:rsidP="004A60AA">
                    <w:pPr>
                      <w:pBdr>
                        <w:bottom w:val="single" w:sz="12" w:space="1" w:color="auto"/>
                      </w:pBdr>
                      <w:tabs>
                        <w:tab w:val="right" w:pos="7200"/>
                      </w:tabs>
                      <w:ind w:left="-90"/>
                      <w:rPr>
                        <w:rFonts w:ascii="Franklin Gothic Book" w:hAnsi="Franklin Gothic Book" w:cs="Tahoma"/>
                        <w:sz w:val="8"/>
                        <w:szCs w:val="18"/>
                      </w:rPr>
                    </w:pPr>
                  </w:p>
                  <w:p w:rsidR="004A60AA" w:rsidRDefault="004A60AA" w:rsidP="004A60AA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7A1ACB">
                      <w:rPr>
                        <w:rFonts w:ascii="Utah Condensed" w:hAnsi="Utah Condensed"/>
                        <w:sz w:val="19"/>
                        <w:szCs w:val="17"/>
                      </w:rPr>
                      <w:t xml:space="preserve">P.O. Box 807 • 52 </w:t>
                    </w:r>
                    <w:proofErr w:type="spellStart"/>
                    <w:r w:rsidRPr="007A1ACB">
                      <w:rPr>
                        <w:rFonts w:ascii="Utah Condensed" w:hAnsi="Utah Condensed"/>
                        <w:sz w:val="19"/>
                        <w:szCs w:val="17"/>
                      </w:rPr>
                      <w:t>Readington</w:t>
                    </w:r>
                    <w:proofErr w:type="spellEnd"/>
                    <w:r w:rsidRPr="007A1ACB">
                      <w:rPr>
                        <w:rFonts w:ascii="Utah Condensed" w:hAnsi="Utah Condensed"/>
                        <w:sz w:val="19"/>
                        <w:szCs w:val="17"/>
                      </w:rPr>
                      <w:t xml:space="preserve"> Road • Whitehouse Station, NJ  08889 • (908)-534-2195 • (908) 534-9551 fax</w:t>
                    </w:r>
                  </w:p>
                  <w:p w:rsidR="004A60AA" w:rsidRPr="00390D8D" w:rsidRDefault="004A60AA" w:rsidP="004A60AA">
                    <w:pPr>
                      <w:ind w:left="-90"/>
                      <w:rPr>
                        <w:rFonts w:ascii="Times New Roman" w:hAnsi="Times New Roman"/>
                        <w:b/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-564515</wp:posOffset>
          </wp:positionV>
          <wp:extent cx="1955800" cy="977900"/>
          <wp:effectExtent l="0" t="0" r="6350" b="0"/>
          <wp:wrapTight wrapText="bothSides">
            <wp:wrapPolygon edited="0">
              <wp:start x="0" y="0"/>
              <wp:lineTo x="0" y="21039"/>
              <wp:lineTo x="21460" y="21039"/>
              <wp:lineTo x="21460" y="0"/>
              <wp:lineTo x="0" y="0"/>
            </wp:wrapPolygon>
          </wp:wrapTight>
          <wp:docPr id="2" name="Picture 4" descr="RTPS 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TPS Logo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0AA" w:rsidRDefault="007A36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-425450</wp:posOffset>
              </wp:positionH>
              <wp:positionV relativeFrom="paragraph">
                <wp:posOffset>124460</wp:posOffset>
              </wp:positionV>
              <wp:extent cx="1930400" cy="375285"/>
              <wp:effectExtent l="0" t="0" r="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0AA" w:rsidRDefault="00B879C9" w:rsidP="004A60AA">
                          <w:pPr>
                            <w:jc w:val="center"/>
                          </w:pPr>
                          <w:hyperlink r:id="rId2" w:history="1">
                            <w:r w:rsidR="004A60AA" w:rsidRPr="000B5B18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www.readington.k12.nj.us</w:t>
                            </w:r>
                          </w:hyperlink>
                        </w:p>
                        <w:p w:rsidR="004A60AA" w:rsidRPr="001F70D8" w:rsidRDefault="004A60AA" w:rsidP="004A60AA">
                          <w:pPr>
                            <w:ind w:left="-90"/>
                            <w:jc w:val="center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3.5pt;margin-top:9.8pt;width:152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ybhA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" stroked="f">
              <v:textbox>
                <w:txbxContent>
                  <w:p w:rsidR="004A60AA" w:rsidRDefault="0004597E" w:rsidP="004A60AA">
                    <w:pPr>
                      <w:jc w:val="center"/>
                    </w:pPr>
                    <w:hyperlink r:id="rId3" w:history="1">
                      <w:r w:rsidR="004A60AA" w:rsidRPr="000B5B18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>www.readington.k12.nj.us</w:t>
                      </w:r>
                    </w:hyperlink>
                  </w:p>
                  <w:p w:rsidR="004A60AA" w:rsidRPr="001F70D8" w:rsidRDefault="004A60AA" w:rsidP="004A60AA">
                    <w:pPr>
                      <w:ind w:left="-90"/>
                      <w:jc w:val="center"/>
                      <w:rPr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5AB6"/>
    <w:multiLevelType w:val="hybridMultilevel"/>
    <w:tmpl w:val="6EA2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0"/>
    <w:rsid w:val="00016FB8"/>
    <w:rsid w:val="0004597E"/>
    <w:rsid w:val="0007435F"/>
    <w:rsid w:val="000A0ED3"/>
    <w:rsid w:val="00141C7E"/>
    <w:rsid w:val="00160090"/>
    <w:rsid w:val="00217845"/>
    <w:rsid w:val="002C6C5E"/>
    <w:rsid w:val="003F7CA5"/>
    <w:rsid w:val="00406F78"/>
    <w:rsid w:val="004541D1"/>
    <w:rsid w:val="004A60AA"/>
    <w:rsid w:val="004B2049"/>
    <w:rsid w:val="004B2A0E"/>
    <w:rsid w:val="006121F9"/>
    <w:rsid w:val="00613BCC"/>
    <w:rsid w:val="00645814"/>
    <w:rsid w:val="00672B08"/>
    <w:rsid w:val="007A3685"/>
    <w:rsid w:val="00862AA5"/>
    <w:rsid w:val="009A5136"/>
    <w:rsid w:val="00A35948"/>
    <w:rsid w:val="00A801C8"/>
    <w:rsid w:val="00A96F03"/>
    <w:rsid w:val="00B14B2B"/>
    <w:rsid w:val="00B16506"/>
    <w:rsid w:val="00B879C9"/>
    <w:rsid w:val="00C94703"/>
    <w:rsid w:val="00CC3D48"/>
    <w:rsid w:val="00DA06D6"/>
    <w:rsid w:val="00E77407"/>
    <w:rsid w:val="00E92400"/>
    <w:rsid w:val="00F81361"/>
    <w:rsid w:val="00F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40"/>
  </w:style>
  <w:style w:type="paragraph" w:styleId="Footer">
    <w:name w:val="footer"/>
    <w:basedOn w:val="Normal"/>
    <w:link w:val="FooterChar"/>
    <w:uiPriority w:val="99"/>
    <w:unhideWhenUsed/>
    <w:rsid w:val="00F8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40"/>
  </w:style>
  <w:style w:type="paragraph" w:customStyle="1" w:styleId="Supplemenatalheading">
    <w:name w:val="Supplemenatal  heading"/>
    <w:basedOn w:val="Normal"/>
    <w:uiPriority w:val="99"/>
    <w:rsid w:val="00F81B40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UniversBold" w:hAnsi="UniversBold" w:cs="UniversBold"/>
      <w:color w:val="000000"/>
      <w:sz w:val="24"/>
      <w:szCs w:val="24"/>
    </w:rPr>
  </w:style>
  <w:style w:type="character" w:customStyle="1" w:styleId="CommunicationHeadings">
    <w:name w:val="Communication Headings"/>
    <w:uiPriority w:val="99"/>
    <w:rsid w:val="00F81B40"/>
    <w:rPr>
      <w:rFonts w:ascii="Arial" w:hAnsi="Arial" w:cs="Arial"/>
      <w:b/>
      <w:bCs/>
      <w:color w:val="000000"/>
      <w:spacing w:val="0"/>
      <w:sz w:val="24"/>
      <w:szCs w:val="24"/>
      <w:vertAlign w:val="baseline"/>
    </w:rPr>
  </w:style>
  <w:style w:type="character" w:customStyle="1" w:styleId="Centeredheading">
    <w:name w:val="Centered heading"/>
    <w:uiPriority w:val="99"/>
    <w:rsid w:val="00F81B40"/>
    <w:rPr>
      <w:rFonts w:ascii="Arial" w:hAnsi="Arial" w:cs="Arial"/>
      <w:b/>
      <w:bCs/>
      <w:smallCaps/>
      <w:color w:val="5E604A"/>
      <w:spacing w:val="0"/>
      <w:sz w:val="36"/>
      <w:szCs w:val="36"/>
      <w:vertAlign w:val="baseline"/>
    </w:rPr>
  </w:style>
  <w:style w:type="paragraph" w:customStyle="1" w:styleId="BodyText1">
    <w:name w:val="Body Text1"/>
    <w:basedOn w:val="Normal"/>
    <w:uiPriority w:val="99"/>
    <w:rsid w:val="00F81B40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81B4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link">
    <w:name w:val="Hyperlink"/>
    <w:rsid w:val="004A6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40"/>
  </w:style>
  <w:style w:type="paragraph" w:styleId="Footer">
    <w:name w:val="footer"/>
    <w:basedOn w:val="Normal"/>
    <w:link w:val="FooterChar"/>
    <w:uiPriority w:val="99"/>
    <w:unhideWhenUsed/>
    <w:rsid w:val="00F8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40"/>
  </w:style>
  <w:style w:type="paragraph" w:customStyle="1" w:styleId="Supplemenatalheading">
    <w:name w:val="Supplemenatal  heading"/>
    <w:basedOn w:val="Normal"/>
    <w:uiPriority w:val="99"/>
    <w:rsid w:val="00F81B40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UniversBold" w:hAnsi="UniversBold" w:cs="UniversBold"/>
      <w:color w:val="000000"/>
      <w:sz w:val="24"/>
      <w:szCs w:val="24"/>
    </w:rPr>
  </w:style>
  <w:style w:type="character" w:customStyle="1" w:styleId="CommunicationHeadings">
    <w:name w:val="Communication Headings"/>
    <w:uiPriority w:val="99"/>
    <w:rsid w:val="00F81B40"/>
    <w:rPr>
      <w:rFonts w:ascii="Arial" w:hAnsi="Arial" w:cs="Arial"/>
      <w:b/>
      <w:bCs/>
      <w:color w:val="000000"/>
      <w:spacing w:val="0"/>
      <w:sz w:val="24"/>
      <w:szCs w:val="24"/>
      <w:vertAlign w:val="baseline"/>
    </w:rPr>
  </w:style>
  <w:style w:type="character" w:customStyle="1" w:styleId="Centeredheading">
    <w:name w:val="Centered heading"/>
    <w:uiPriority w:val="99"/>
    <w:rsid w:val="00F81B40"/>
    <w:rPr>
      <w:rFonts w:ascii="Arial" w:hAnsi="Arial" w:cs="Arial"/>
      <w:b/>
      <w:bCs/>
      <w:smallCaps/>
      <w:color w:val="5E604A"/>
      <w:spacing w:val="0"/>
      <w:sz w:val="36"/>
      <w:szCs w:val="36"/>
      <w:vertAlign w:val="baseline"/>
    </w:rPr>
  </w:style>
  <w:style w:type="paragraph" w:customStyle="1" w:styleId="BodyText1">
    <w:name w:val="Body Text1"/>
    <w:basedOn w:val="Normal"/>
    <w:uiPriority w:val="99"/>
    <w:rsid w:val="00F81B40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81B4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link">
    <w:name w:val="Hyperlink"/>
    <w:rsid w:val="004A6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adington.k12.nj.us" TargetMode="External"/><Relationship Id="rId2" Type="http://schemas.openxmlformats.org/officeDocument/2006/relationships/hyperlink" Target="http://www.readington.k12.nj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70B1CBC7E124982B7C329D97B7A01" ma:contentTypeVersion="" ma:contentTypeDescription="Create a new document." ma:contentTypeScope="" ma:versionID="84eb971891a08f85b7224364061c74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02900-D29A-4AB9-A67A-5329C0D9E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B5CBA3-0A23-4DB3-A1A7-475C65FCF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4AA5C-5787-484A-82FE-C5A59C7E3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svanhouten</dc:creator>
  <cp:lastModifiedBy>Bettermann, Jodi</cp:lastModifiedBy>
  <cp:revision>4</cp:revision>
  <dcterms:created xsi:type="dcterms:W3CDTF">2015-08-04T14:38:00Z</dcterms:created>
  <dcterms:modified xsi:type="dcterms:W3CDTF">2015-08-04T14:46:00Z</dcterms:modified>
</cp:coreProperties>
</file>